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38" w:rsidRPr="007C5D9B" w:rsidRDefault="00943638" w:rsidP="007C5D9B">
      <w:pPr>
        <w:ind w:firstLine="240"/>
        <w:jc w:val="both"/>
      </w:pPr>
      <w:r>
        <w:t xml:space="preserve"> 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РОССИЙСКАЯ   ФЕДЕРАЦИЯ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Иркутская  область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Жигаловский  район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Тимошинского сельского поселения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43638" w:rsidRDefault="00943638" w:rsidP="00943638">
      <w:pPr>
        <w:jc w:val="center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:rsidR="00943638" w:rsidRDefault="00943638" w:rsidP="00943638">
      <w:pPr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666413 с. </w:t>
      </w:r>
      <w:proofErr w:type="gramStart"/>
      <w:r>
        <w:rPr>
          <w:sz w:val="22"/>
          <w:szCs w:val="22"/>
        </w:rPr>
        <w:t>Тимошино</w:t>
      </w:r>
      <w:proofErr w:type="gramEnd"/>
      <w:r>
        <w:rPr>
          <w:sz w:val="22"/>
          <w:szCs w:val="22"/>
        </w:rPr>
        <w:t>, ул. Центральная, 8 тел. 22 – 1 – 08</w:t>
      </w:r>
    </w:p>
    <w:p w:rsidR="00943638" w:rsidRDefault="00943638" w:rsidP="00943638">
      <w:pPr>
        <w:rPr>
          <w:sz w:val="28"/>
          <w:szCs w:val="28"/>
        </w:rPr>
      </w:pPr>
    </w:p>
    <w:p w:rsidR="00943638" w:rsidRDefault="00EA61BD" w:rsidP="00943638">
      <w:r>
        <w:t xml:space="preserve">« </w:t>
      </w:r>
      <w:r w:rsidR="00A4144D">
        <w:t xml:space="preserve"> </w:t>
      </w:r>
      <w:r w:rsidR="00943638" w:rsidRPr="00165FEC">
        <w:t xml:space="preserve">» </w:t>
      </w:r>
      <w:r w:rsidR="00A4144D">
        <w:t xml:space="preserve"> </w:t>
      </w:r>
      <w:r w:rsidR="004A654B">
        <w:t xml:space="preserve">   </w:t>
      </w:r>
      <w:r w:rsidR="00540B76">
        <w:t xml:space="preserve"> </w:t>
      </w:r>
      <w:r w:rsidR="00CB38F9">
        <w:t xml:space="preserve"> </w:t>
      </w:r>
      <w:r w:rsidR="004A654B">
        <w:t xml:space="preserve"> 2020</w:t>
      </w:r>
      <w:r w:rsidR="00943638" w:rsidRPr="00165FEC">
        <w:t xml:space="preserve">  года  №  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</w:p>
    <w:p w:rsidR="00A4144D" w:rsidRDefault="00A4144D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основных направлений 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бюджетной и налоговой политики 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Тимошинского муниципального образования </w:t>
      </w:r>
    </w:p>
    <w:p w:rsidR="00A4144D" w:rsidRDefault="004A654B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>на 2021 год и на плановый период 2022 и 2023</w:t>
      </w:r>
      <w:r w:rsidR="00A4144D">
        <w:rPr>
          <w:sz w:val="24"/>
          <w:szCs w:val="24"/>
        </w:rPr>
        <w:t xml:space="preserve">  годов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</w:p>
    <w:p w:rsidR="00A4144D" w:rsidRDefault="00A4144D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Руководствуясь ст.ст. 172, 184.2 Бюджетного Кодекса Российской Федерации, ст.14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ст.ст. 4, 5, 6 Положения о бюджетном процессе в </w:t>
      </w:r>
      <w:proofErr w:type="spellStart"/>
      <w:r>
        <w:rPr>
          <w:sz w:val="24"/>
          <w:szCs w:val="24"/>
        </w:rPr>
        <w:t>Тимошинском</w:t>
      </w:r>
      <w:proofErr w:type="spellEnd"/>
      <w:r>
        <w:rPr>
          <w:sz w:val="24"/>
          <w:szCs w:val="24"/>
        </w:rPr>
        <w:t xml:space="preserve"> муниципальном образовании, утвержденного решением Думы Тимошин</w:t>
      </w:r>
      <w:r w:rsidR="004A654B">
        <w:rPr>
          <w:sz w:val="24"/>
          <w:szCs w:val="24"/>
        </w:rPr>
        <w:t>ского  сельского поселения от 30 апреля 2020 года № 79</w:t>
      </w:r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Уставом Тимошинского муниципального образования,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Тимошинского сельского</w:t>
      </w:r>
      <w:proofErr w:type="gramEnd"/>
      <w:r>
        <w:rPr>
          <w:sz w:val="24"/>
          <w:szCs w:val="24"/>
        </w:rPr>
        <w:t xml:space="preserve"> поселения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</w:p>
    <w:p w:rsidR="00A4144D" w:rsidRDefault="00A4144D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ПОСТАНОВЛЯЕТ:   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</w:p>
    <w:p w:rsidR="00A4144D" w:rsidRDefault="00A4144D" w:rsidP="00A4144D">
      <w:pPr>
        <w:pStyle w:val="2"/>
        <w:ind w:right="-1" w:firstLine="708"/>
        <w:rPr>
          <w:sz w:val="24"/>
          <w:szCs w:val="24"/>
        </w:rPr>
      </w:pPr>
      <w:r>
        <w:rPr>
          <w:sz w:val="24"/>
          <w:szCs w:val="24"/>
        </w:rPr>
        <w:t>1.Утвердить основные направления бюджетной и налоговой политики Тимошинского му</w:t>
      </w:r>
      <w:r w:rsidR="004A654B">
        <w:rPr>
          <w:sz w:val="24"/>
          <w:szCs w:val="24"/>
        </w:rPr>
        <w:t>ниципального образования на 2021 год и на плановый период 2022 и 2023</w:t>
      </w:r>
      <w:r>
        <w:rPr>
          <w:sz w:val="24"/>
          <w:szCs w:val="24"/>
        </w:rPr>
        <w:t xml:space="preserve">  годов» согласно приложению 1.</w:t>
      </w:r>
    </w:p>
    <w:p w:rsidR="00A4144D" w:rsidRDefault="00A4144D" w:rsidP="00A4144D">
      <w:pPr>
        <w:pStyle w:val="2"/>
        <w:ind w:right="-1" w:firstLine="708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по</w:t>
      </w:r>
      <w:r w:rsidR="005B0682">
        <w:rPr>
          <w:sz w:val="24"/>
          <w:szCs w:val="24"/>
        </w:rPr>
        <w:t>становление а</w:t>
      </w:r>
      <w:r w:rsidR="004A654B">
        <w:rPr>
          <w:sz w:val="24"/>
          <w:szCs w:val="24"/>
        </w:rPr>
        <w:t>дминистрации от  19 ноября  2019 г  №  35</w:t>
      </w:r>
      <w:r>
        <w:rPr>
          <w:sz w:val="24"/>
          <w:szCs w:val="24"/>
        </w:rPr>
        <w:t xml:space="preserve"> «Об утверждении «Основных направлений бюджетной </w:t>
      </w:r>
      <w:r w:rsidR="005B06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r w:rsidR="005B06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налоговой политики </w:t>
      </w:r>
      <w:r w:rsidR="005B0682">
        <w:rPr>
          <w:sz w:val="24"/>
          <w:szCs w:val="24"/>
        </w:rPr>
        <w:t xml:space="preserve">Тимошинского </w:t>
      </w:r>
      <w:r>
        <w:rPr>
          <w:sz w:val="24"/>
          <w:szCs w:val="24"/>
        </w:rPr>
        <w:t xml:space="preserve"> му</w:t>
      </w:r>
      <w:r w:rsidR="004A654B">
        <w:rPr>
          <w:sz w:val="24"/>
          <w:szCs w:val="24"/>
        </w:rPr>
        <w:t>ниципального образования на 2020 год и на плановый период 2021 и 2022</w:t>
      </w:r>
      <w:r>
        <w:rPr>
          <w:sz w:val="24"/>
          <w:szCs w:val="24"/>
        </w:rPr>
        <w:t xml:space="preserve">  годов»».</w:t>
      </w:r>
    </w:p>
    <w:p w:rsidR="00A4144D" w:rsidRDefault="00A4144D" w:rsidP="00A4144D">
      <w:pPr>
        <w:pStyle w:val="2"/>
        <w:ind w:right="-1" w:firstLine="708"/>
        <w:rPr>
          <w:sz w:val="24"/>
          <w:szCs w:val="24"/>
        </w:rPr>
      </w:pPr>
      <w:r>
        <w:rPr>
          <w:sz w:val="24"/>
          <w:szCs w:val="24"/>
        </w:rPr>
        <w:t>3. Постановление опубликовать в установленном порядке в  газете «Сельские вести», разместить в сети Интернет на официальном сайте Администрации Тимошинского сельского поселения.(</w:t>
      </w:r>
      <w:hyperlink r:id="rId4" w:history="1">
        <w:r w:rsidRPr="003C3EA1">
          <w:rPr>
            <w:rStyle w:val="a6"/>
            <w:sz w:val="24"/>
            <w:szCs w:val="24"/>
          </w:rPr>
          <w:t>http://тимошино.рф</w:t>
        </w:r>
      </w:hyperlink>
      <w:r>
        <w:rPr>
          <w:sz w:val="24"/>
          <w:szCs w:val="24"/>
        </w:rPr>
        <w:t>).</w:t>
      </w:r>
    </w:p>
    <w:p w:rsidR="00A4144D" w:rsidRDefault="00A4144D" w:rsidP="00A4144D">
      <w:pPr>
        <w:pStyle w:val="2"/>
        <w:ind w:right="-1" w:firstLine="708"/>
        <w:rPr>
          <w:sz w:val="24"/>
          <w:szCs w:val="24"/>
        </w:rPr>
      </w:pPr>
      <w:r>
        <w:rPr>
          <w:sz w:val="24"/>
          <w:szCs w:val="24"/>
        </w:rPr>
        <w:t>4. Настоящее постановление</w:t>
      </w:r>
      <w:r w:rsidR="004A654B">
        <w:rPr>
          <w:sz w:val="24"/>
          <w:szCs w:val="24"/>
        </w:rPr>
        <w:t xml:space="preserve"> вступает в силу с 1 января 2021</w:t>
      </w:r>
      <w:r>
        <w:rPr>
          <w:sz w:val="24"/>
          <w:szCs w:val="24"/>
        </w:rPr>
        <w:t xml:space="preserve"> года.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</w:p>
    <w:p w:rsidR="00A4144D" w:rsidRDefault="00A4144D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>Глава Тимошинского</w:t>
      </w:r>
    </w:p>
    <w:p w:rsidR="00A4144D" w:rsidRDefault="00A4144D" w:rsidP="00A4144D">
      <w:pPr>
        <w:pStyle w:val="2"/>
        <w:ind w:right="-1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Ю.Н. Замащикова</w:t>
      </w:r>
    </w:p>
    <w:p w:rsidR="00A4144D" w:rsidRDefault="00A4144D" w:rsidP="00A4144D">
      <w:pPr>
        <w:pStyle w:val="2"/>
        <w:ind w:right="-1"/>
        <w:rPr>
          <w:bCs/>
          <w:color w:val="000080"/>
          <w:sz w:val="24"/>
          <w:szCs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</w:t>
      </w: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A4144D" w:rsidRDefault="00A4144D" w:rsidP="00A4144D">
      <w:pPr>
        <w:pStyle w:val="2"/>
        <w:ind w:right="-1"/>
        <w:rPr>
          <w:bCs/>
          <w:sz w:val="24"/>
        </w:rPr>
      </w:pPr>
    </w:p>
    <w:p w:rsidR="00A4144D" w:rsidRDefault="00A4144D" w:rsidP="00A4144D">
      <w:pPr>
        <w:pStyle w:val="2"/>
        <w:ind w:right="-1"/>
        <w:rPr>
          <w:bCs/>
          <w:sz w:val="24"/>
        </w:rPr>
      </w:pPr>
    </w:p>
    <w:p w:rsidR="00A4144D" w:rsidRDefault="00A4144D" w:rsidP="00A4144D">
      <w:pPr>
        <w:pStyle w:val="2"/>
        <w:ind w:right="-1"/>
        <w:rPr>
          <w:bCs/>
          <w:sz w:val="24"/>
        </w:rPr>
      </w:pPr>
    </w:p>
    <w:p w:rsidR="00A4144D" w:rsidRDefault="00A4144D" w:rsidP="00A4144D">
      <w:pPr>
        <w:pStyle w:val="2"/>
        <w:ind w:right="-1"/>
        <w:rPr>
          <w:bCs/>
          <w:sz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A4144D" w:rsidRDefault="00A4144D" w:rsidP="00A4144D">
      <w:pPr>
        <w:pStyle w:val="2"/>
        <w:ind w:right="-1"/>
        <w:jc w:val="center"/>
        <w:rPr>
          <w:bCs/>
          <w:sz w:val="24"/>
        </w:rPr>
      </w:pPr>
    </w:p>
    <w:p w:rsidR="005B0682" w:rsidRDefault="00A4144D" w:rsidP="00A4144D">
      <w:pPr>
        <w:pStyle w:val="2"/>
        <w:ind w:right="-1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</w:t>
      </w:r>
    </w:p>
    <w:p w:rsidR="00A4144D" w:rsidRDefault="005B0682" w:rsidP="00A4144D">
      <w:pPr>
        <w:pStyle w:val="2"/>
        <w:ind w:right="-1"/>
        <w:jc w:val="center"/>
        <w:rPr>
          <w:bCs/>
          <w:sz w:val="22"/>
          <w:szCs w:val="22"/>
        </w:rPr>
      </w:pPr>
      <w:r>
        <w:rPr>
          <w:bCs/>
          <w:sz w:val="24"/>
        </w:rPr>
        <w:lastRenderedPageBreak/>
        <w:t xml:space="preserve">                                                            </w:t>
      </w:r>
      <w:r w:rsidR="00A4144D">
        <w:rPr>
          <w:bCs/>
          <w:sz w:val="24"/>
        </w:rPr>
        <w:t xml:space="preserve">   </w:t>
      </w:r>
      <w:r w:rsidR="00A4144D">
        <w:rPr>
          <w:bCs/>
          <w:sz w:val="22"/>
          <w:szCs w:val="22"/>
        </w:rPr>
        <w:t>Приложение 1</w:t>
      </w:r>
    </w:p>
    <w:p w:rsidR="00A4144D" w:rsidRDefault="00A4144D" w:rsidP="00A4144D">
      <w:pPr>
        <w:pStyle w:val="2"/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к постановлению администрации </w:t>
      </w:r>
    </w:p>
    <w:p w:rsidR="00A4144D" w:rsidRDefault="00A4144D" w:rsidP="00A4144D">
      <w:pPr>
        <w:pStyle w:val="2"/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Тимошинского сельского поселения</w:t>
      </w:r>
    </w:p>
    <w:p w:rsidR="00A4144D" w:rsidRPr="00A4144D" w:rsidRDefault="00A4144D" w:rsidP="00A4144D">
      <w:pPr>
        <w:pStyle w:val="2"/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</w:t>
      </w:r>
      <w:r w:rsidR="009C2B6D">
        <w:rPr>
          <w:bCs/>
          <w:sz w:val="22"/>
          <w:szCs w:val="22"/>
        </w:rPr>
        <w:t>О</w:t>
      </w:r>
      <w:r>
        <w:rPr>
          <w:bCs/>
          <w:sz w:val="22"/>
          <w:szCs w:val="22"/>
        </w:rPr>
        <w:t>т</w:t>
      </w:r>
      <w:r w:rsidR="004A654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. </w:t>
      </w:r>
      <w:r w:rsidR="004A654B">
        <w:rPr>
          <w:bCs/>
          <w:sz w:val="22"/>
          <w:szCs w:val="22"/>
        </w:rPr>
        <w:t xml:space="preserve">.2020 </w:t>
      </w:r>
      <w:r>
        <w:rPr>
          <w:bCs/>
          <w:sz w:val="22"/>
          <w:szCs w:val="22"/>
        </w:rPr>
        <w:t xml:space="preserve">г. № </w:t>
      </w:r>
    </w:p>
    <w:p w:rsidR="00A4144D" w:rsidRDefault="00A4144D" w:rsidP="00A4144D">
      <w:pPr>
        <w:pStyle w:val="2"/>
        <w:ind w:right="-1"/>
        <w:jc w:val="center"/>
        <w:rPr>
          <w:b/>
          <w:bCs/>
          <w:sz w:val="22"/>
          <w:szCs w:val="22"/>
        </w:rPr>
      </w:pPr>
    </w:p>
    <w:p w:rsidR="00A4144D" w:rsidRDefault="00A4144D" w:rsidP="00A4144D">
      <w:pPr>
        <w:jc w:val="center"/>
        <w:rPr>
          <w:b/>
        </w:rPr>
      </w:pPr>
      <w:r>
        <w:rPr>
          <w:b/>
        </w:rPr>
        <w:t>Основные направления бюджетной и налоговой политики Тимошинского му</w:t>
      </w:r>
      <w:r w:rsidR="004A654B">
        <w:rPr>
          <w:b/>
        </w:rPr>
        <w:t>ниципального образования на 2021 год и на плановый период 2022 и 2023</w:t>
      </w:r>
      <w:r>
        <w:rPr>
          <w:b/>
        </w:rPr>
        <w:t xml:space="preserve"> годов</w:t>
      </w:r>
    </w:p>
    <w:p w:rsidR="00A4144D" w:rsidRDefault="00A4144D" w:rsidP="00A4144D">
      <w:pPr>
        <w:jc w:val="center"/>
        <w:rPr>
          <w:b/>
          <w:bCs/>
        </w:rPr>
      </w:pPr>
    </w:p>
    <w:p w:rsidR="00A4144D" w:rsidRDefault="00A4144D" w:rsidP="00A4144D">
      <w:pPr>
        <w:jc w:val="center"/>
        <w:rPr>
          <w:b/>
          <w:bCs/>
        </w:rPr>
      </w:pPr>
      <w:r>
        <w:rPr>
          <w:b/>
          <w:bCs/>
        </w:rPr>
        <w:t>1.Основные положения</w:t>
      </w:r>
    </w:p>
    <w:p w:rsidR="00A4144D" w:rsidRDefault="00A4144D" w:rsidP="00A4144D">
      <w:pPr>
        <w:jc w:val="both"/>
        <w:rPr>
          <w:bCs/>
        </w:rPr>
      </w:pPr>
    </w:p>
    <w:p w:rsidR="00A4144D" w:rsidRDefault="00A4144D" w:rsidP="00A4144D">
      <w:pPr>
        <w:ind w:firstLine="708"/>
        <w:jc w:val="both"/>
      </w:pPr>
      <w:proofErr w:type="gramStart"/>
      <w:r>
        <w:t>Основные направления бюджетной и налоговой политики Тимошинского муниципального образования (далее - Основные направления бюджетн</w:t>
      </w:r>
      <w:r w:rsidR="004A654B">
        <w:t>ой и налоговой политики) на 2021 год и на плановый период 2022 и 2023</w:t>
      </w:r>
      <w:r>
        <w:t xml:space="preserve"> годов разработаны в соответствии со </w:t>
      </w:r>
      <w:hyperlink r:id="rId5" w:history="1">
        <w:r>
          <w:rPr>
            <w:rStyle w:val="a6"/>
          </w:rPr>
          <w:t>статьей 172</w:t>
        </w:r>
      </w:hyperlink>
      <w:r>
        <w:t xml:space="preserve">, 184.2 Бюджетного кодекса Российской Федерации, статьями 4, 5, 6 Положения о бюджетном процессе в </w:t>
      </w:r>
      <w:proofErr w:type="spellStart"/>
      <w:r w:rsidR="005B0682">
        <w:t>Тимошинском</w:t>
      </w:r>
      <w:proofErr w:type="spellEnd"/>
      <w:r w:rsidR="005B0682">
        <w:t xml:space="preserve"> </w:t>
      </w:r>
      <w:r>
        <w:t xml:space="preserve"> муниципальном образовании и определяют приоритеты бюджетной и налоговой политики </w:t>
      </w:r>
      <w:r w:rsidR="005B0682">
        <w:t>Тимошинского</w:t>
      </w:r>
      <w:r>
        <w:t xml:space="preserve"> муниципального образования</w:t>
      </w:r>
      <w:proofErr w:type="gramEnd"/>
      <w:r>
        <w:t xml:space="preserve"> (далее – муниципального образования) в среднесрочной перспективе.</w:t>
      </w:r>
    </w:p>
    <w:p w:rsidR="00A4144D" w:rsidRDefault="00A4144D" w:rsidP="00A4144D">
      <w:pPr>
        <w:ind w:firstLine="708"/>
        <w:jc w:val="both"/>
        <w:rPr>
          <w:i/>
          <w:color w:val="2D2D2D"/>
          <w:spacing w:val="2"/>
        </w:rPr>
      </w:pPr>
      <w:proofErr w:type="gramStart"/>
      <w:r>
        <w:rPr>
          <w:bCs/>
        </w:rPr>
        <w:t xml:space="preserve">При подготовке основных направлений бюджетной и налоговой политики учтены </w:t>
      </w:r>
      <w:r>
        <w:rPr>
          <w:color w:val="2D2D2D"/>
          <w:spacing w:val="2"/>
        </w:rPr>
        <w:t>положения Бюджетного кодекса Российской Федерации, Указа Президента Российской Федерации от 7 мая 2018 года №</w:t>
      </w:r>
      <w:r w:rsidR="005B0682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204 «О национальных целях и стратегических задачах развития Российской Федерации на период до 2024 года», </w:t>
      </w:r>
      <w:r>
        <w:rPr>
          <w:bCs/>
        </w:rPr>
        <w:t>Послания Президента Российской Федерации Федеральному Собранию Российской Федерации от 20 февраля 2019 года, муниципальных программ муниципального образования.</w:t>
      </w:r>
      <w:proofErr w:type="gramEnd"/>
    </w:p>
    <w:p w:rsidR="00A4144D" w:rsidRDefault="00A4144D" w:rsidP="00A4144D">
      <w:pPr>
        <w:ind w:firstLine="708"/>
        <w:jc w:val="both"/>
      </w:pPr>
      <w:r>
        <w:t xml:space="preserve">Основное направления бюджетной и налоговой политики определяют условия и подходы, принимаемые для составления основных показателей проекта бюджета </w:t>
      </w:r>
      <w:r w:rsidR="005B0682">
        <w:t>Тимошинского</w:t>
      </w:r>
      <w:r w:rsidR="004A654B">
        <w:t xml:space="preserve"> сельского поселения на 2021 год и плановый период 2022 и 2023</w:t>
      </w:r>
      <w:r>
        <w:t xml:space="preserve"> годов (далее – местный бюджет), и сохраняют преемственность ранее поставленных задач.</w:t>
      </w:r>
    </w:p>
    <w:p w:rsidR="00A4144D" w:rsidRDefault="00A4144D" w:rsidP="00A4144D">
      <w:pPr>
        <w:ind w:firstLine="708"/>
        <w:jc w:val="both"/>
      </w:pPr>
      <w:r>
        <w:t xml:space="preserve">Обеспечение роста доходного потенциала муниципального образования, повышение уровня собираемости доходов местного бюджета, проведение предсказуемой и ответственной бюджетной политики,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муниципального образования, увеличению их доступности и качества. </w:t>
      </w:r>
    </w:p>
    <w:p w:rsidR="00A4144D" w:rsidRDefault="00A4144D" w:rsidP="00A4144D">
      <w:pPr>
        <w:jc w:val="both"/>
        <w:rPr>
          <w:i/>
        </w:rPr>
      </w:pPr>
    </w:p>
    <w:p w:rsidR="00A4144D" w:rsidRDefault="00A4144D" w:rsidP="00A4144D">
      <w:pPr>
        <w:jc w:val="center"/>
        <w:rPr>
          <w:b/>
        </w:rPr>
      </w:pPr>
      <w:r>
        <w:rPr>
          <w:b/>
        </w:rPr>
        <w:t>2. Итоги реализации бюджет</w:t>
      </w:r>
      <w:r w:rsidR="004A654B">
        <w:rPr>
          <w:b/>
        </w:rPr>
        <w:t>ной и налоговой политики в  2019 году и первой половине 2020</w:t>
      </w:r>
      <w:r>
        <w:rPr>
          <w:b/>
        </w:rPr>
        <w:t xml:space="preserve"> года</w:t>
      </w:r>
    </w:p>
    <w:p w:rsidR="00A4144D" w:rsidRDefault="00A4144D" w:rsidP="00A4144D">
      <w:pPr>
        <w:jc w:val="both"/>
      </w:pPr>
    </w:p>
    <w:p w:rsidR="00A4144D" w:rsidRDefault="00A4144D" w:rsidP="00A4144D">
      <w:pPr>
        <w:jc w:val="both"/>
      </w:pPr>
      <w:r>
        <w:t xml:space="preserve"> </w:t>
      </w:r>
      <w:r>
        <w:tab/>
        <w:t xml:space="preserve">Реализация бюджетной и налоговой политики </w:t>
      </w:r>
      <w:r w:rsidR="004A654B">
        <w:t>в 2019 году и первой половине 2020</w:t>
      </w:r>
      <w:r>
        <w:t xml:space="preserve"> года  осуществлялась в условиях недостатка собственной доходной базы, высокой зависимости от объема финансовой помощи из бюджетов других уровней. </w:t>
      </w:r>
    </w:p>
    <w:p w:rsidR="00A4144D" w:rsidRDefault="00A4144D" w:rsidP="00A4144D">
      <w:pPr>
        <w:ind w:firstLine="708"/>
        <w:jc w:val="both"/>
      </w:pPr>
      <w:r>
        <w:t xml:space="preserve">В ходе исполнения бюджета проводились корректировки местного бюджета, в том числе в части  уточнения прогнозов налоговых и неналоговых платежей, распределения межбюджетных трансфертов и направления бюджетных ассигнований на исполнение приоритетных расходов.   </w:t>
      </w:r>
    </w:p>
    <w:p w:rsidR="00A4144D" w:rsidRDefault="00A4144D" w:rsidP="00A4144D">
      <w:pPr>
        <w:jc w:val="both"/>
      </w:pPr>
      <w:r>
        <w:t xml:space="preserve"> </w:t>
      </w:r>
      <w:r>
        <w:tab/>
        <w:t>Исполнение ме</w:t>
      </w:r>
      <w:r w:rsidR="00DE3F61">
        <w:t>стного бюджета по доходам в 2019</w:t>
      </w:r>
      <w:r>
        <w:t xml:space="preserve"> году составило </w:t>
      </w:r>
      <w:r w:rsidR="00697F74">
        <w:t>6882,98</w:t>
      </w:r>
      <w:r>
        <w:t xml:space="preserve"> тыс. рублей, </w:t>
      </w:r>
      <w:r w:rsidR="005B0682">
        <w:t xml:space="preserve"> на </w:t>
      </w:r>
      <w:r w:rsidR="00697F74">
        <w:t xml:space="preserve">99,8 </w:t>
      </w:r>
      <w:r>
        <w:t xml:space="preserve">% от уточненного плана. Первоначальный бюджет по доходам превышен на </w:t>
      </w:r>
      <w:r w:rsidR="00857CFE">
        <w:t>2794,9</w:t>
      </w:r>
      <w:r>
        <w:t xml:space="preserve"> тыс</w:t>
      </w:r>
      <w:proofErr w:type="gramStart"/>
      <w:r>
        <w:t>.р</w:t>
      </w:r>
      <w:proofErr w:type="gramEnd"/>
      <w:r>
        <w:t xml:space="preserve">ублей, рост составил </w:t>
      </w:r>
      <w:r w:rsidR="00857CFE">
        <w:t>59,4</w:t>
      </w:r>
      <w:r w:rsidR="00720FF4">
        <w:t>,0</w:t>
      </w:r>
      <w:r>
        <w:t xml:space="preserve">%. По группе «Налоговые и неналоговые доходы»  составили </w:t>
      </w:r>
      <w:r w:rsidR="00720FF4">
        <w:t>–</w:t>
      </w:r>
      <w:r>
        <w:t xml:space="preserve"> </w:t>
      </w:r>
      <w:r w:rsidR="00857CFE">
        <w:t>694,48</w:t>
      </w:r>
      <w:r>
        <w:t xml:space="preserve"> тыс. рублей, или </w:t>
      </w:r>
      <w:r w:rsidR="00857CFE">
        <w:t>98,08</w:t>
      </w:r>
      <w:r>
        <w:t xml:space="preserve"> % к плановым назначениям, по «Безвозмездным поступлениям» - </w:t>
      </w:r>
      <w:r w:rsidR="00857CFE">
        <w:t>6188,5</w:t>
      </w:r>
      <w:r>
        <w:t xml:space="preserve"> тыс. рублей, или 100 % к плановым назначениям.</w:t>
      </w:r>
    </w:p>
    <w:p w:rsidR="00A4144D" w:rsidRDefault="00A4144D" w:rsidP="00A4144D">
      <w:pPr>
        <w:ind w:firstLine="708"/>
        <w:jc w:val="both"/>
      </w:pPr>
      <w:r>
        <w:t>Ежегодно возрастает объем налоговых и</w:t>
      </w:r>
      <w:r w:rsidR="00DE3F61">
        <w:t xml:space="preserve"> неналоговых доходов, так в 2019</w:t>
      </w:r>
      <w:r>
        <w:t xml:space="preserve"> году рост составил </w:t>
      </w:r>
      <w:r w:rsidR="00720FF4">
        <w:t xml:space="preserve"> </w:t>
      </w:r>
      <w:r w:rsidR="0021335A">
        <w:t>74,4</w:t>
      </w:r>
      <w:r>
        <w:t xml:space="preserve"> тыс. рублей (или </w:t>
      </w:r>
      <w:r w:rsidR="0021335A">
        <w:t>111,98</w:t>
      </w:r>
      <w:r w:rsidR="00DE3F61">
        <w:t>%) к уровню 2018</w:t>
      </w:r>
      <w:r>
        <w:t xml:space="preserve"> года, а безвозмездные поступления </w:t>
      </w:r>
      <w:r w:rsidR="0021335A">
        <w:t xml:space="preserve">767 </w:t>
      </w:r>
      <w:r>
        <w:t>тыс. ру</w:t>
      </w:r>
      <w:r w:rsidR="00DE3F61">
        <w:t xml:space="preserve">блей (или </w:t>
      </w:r>
      <w:r w:rsidR="0021335A">
        <w:t xml:space="preserve">114,15 </w:t>
      </w:r>
      <w:r w:rsidR="00DE3F61">
        <w:t>%) к уровню 2018</w:t>
      </w:r>
      <w:r>
        <w:t xml:space="preserve"> года. </w:t>
      </w:r>
    </w:p>
    <w:p w:rsidR="00A4144D" w:rsidRDefault="00A4144D" w:rsidP="00A4144D">
      <w:pPr>
        <w:ind w:firstLine="708"/>
        <w:jc w:val="both"/>
      </w:pPr>
      <w:r>
        <w:t xml:space="preserve">В структуре исполнения доходов местного бюджета доля налоговых и неналоговых доходов составляет </w:t>
      </w:r>
      <w:r w:rsidR="00A13BDE">
        <w:t>10,1</w:t>
      </w:r>
      <w:r>
        <w:t xml:space="preserve"> %, доля безвозмездных поступлений – </w:t>
      </w:r>
      <w:r w:rsidR="0021335A">
        <w:t>89,91</w:t>
      </w:r>
      <w:r>
        <w:t>%.</w:t>
      </w:r>
    </w:p>
    <w:p w:rsidR="00A4144D" w:rsidRDefault="00A4144D" w:rsidP="00A4144D">
      <w:pPr>
        <w:ind w:firstLine="708"/>
        <w:jc w:val="both"/>
      </w:pPr>
      <w:r>
        <w:t>Исполнение мес</w:t>
      </w:r>
      <w:r w:rsidR="00DE3F61">
        <w:t>тного бюджета по расходам в 2019</w:t>
      </w:r>
      <w:r>
        <w:t xml:space="preserve"> году составило в сумме </w:t>
      </w:r>
      <w:r w:rsidR="0021335A">
        <w:t>6803,56</w:t>
      </w:r>
      <w:r>
        <w:t xml:space="preserve"> тыс. рублей, или </w:t>
      </w:r>
      <w:r w:rsidR="0021335A">
        <w:t>90,7</w:t>
      </w:r>
      <w:r>
        <w:t xml:space="preserve">%  от плановых назначений. </w:t>
      </w:r>
    </w:p>
    <w:p w:rsidR="00A4144D" w:rsidRDefault="00DE3F61" w:rsidP="00A4144D">
      <w:pPr>
        <w:ind w:firstLine="708"/>
        <w:jc w:val="both"/>
      </w:pPr>
      <w:r>
        <w:t>Фактически местный бюджет в 2019</w:t>
      </w:r>
      <w:r w:rsidR="00A4144D">
        <w:t xml:space="preserve"> году исполнен с </w:t>
      </w:r>
      <w:proofErr w:type="spellStart"/>
      <w:r w:rsidR="00A4144D">
        <w:t>профицитом</w:t>
      </w:r>
      <w:proofErr w:type="spellEnd"/>
      <w:r w:rsidR="00A4144D">
        <w:t xml:space="preserve"> в сумме </w:t>
      </w:r>
      <w:r w:rsidR="0021335A">
        <w:t>79,42</w:t>
      </w:r>
      <w:r w:rsidR="00A4144D">
        <w:t xml:space="preserve"> тыс. рублей.</w:t>
      </w:r>
    </w:p>
    <w:p w:rsidR="00A4144D" w:rsidRDefault="00A4144D" w:rsidP="00A4144D">
      <w:pPr>
        <w:ind w:firstLine="708"/>
        <w:jc w:val="both"/>
      </w:pPr>
      <w:r>
        <w:lastRenderedPageBreak/>
        <w:t>Основная доля расходов местного бюджета сосредоточена на следующих направлениях:</w:t>
      </w:r>
    </w:p>
    <w:p w:rsidR="00A4144D" w:rsidRDefault="00A4144D" w:rsidP="00A4144D">
      <w:pPr>
        <w:jc w:val="both"/>
      </w:pPr>
      <w:r>
        <w:t xml:space="preserve">- общегосударственные расходы – </w:t>
      </w:r>
      <w:r w:rsidR="0021335A">
        <w:t>48,89</w:t>
      </w:r>
      <w:r>
        <w:t xml:space="preserve">% (или </w:t>
      </w:r>
      <w:r w:rsidR="0021335A">
        <w:t>3326,61</w:t>
      </w:r>
      <w:r>
        <w:t xml:space="preserve"> тыс</w:t>
      </w:r>
      <w:proofErr w:type="gramStart"/>
      <w:r>
        <w:t>.р</w:t>
      </w:r>
      <w:proofErr w:type="gramEnd"/>
      <w:r>
        <w:t>ублей);</w:t>
      </w:r>
    </w:p>
    <w:p w:rsidR="00A4144D" w:rsidRDefault="00A4144D" w:rsidP="00A4144D">
      <w:pPr>
        <w:jc w:val="both"/>
      </w:pPr>
      <w:r>
        <w:t xml:space="preserve">- культура и кинематография – </w:t>
      </w:r>
      <w:r w:rsidR="00EF1E0E">
        <w:t>29,41</w:t>
      </w:r>
      <w:r w:rsidR="00A13BDE">
        <w:t xml:space="preserve"> </w:t>
      </w:r>
      <w:r>
        <w:t xml:space="preserve">% (или </w:t>
      </w:r>
      <w:r w:rsidR="0021335A">
        <w:t>2001,15</w:t>
      </w:r>
      <w:r>
        <w:t xml:space="preserve"> тыс</w:t>
      </w:r>
      <w:proofErr w:type="gramStart"/>
      <w:r>
        <w:t>.р</w:t>
      </w:r>
      <w:proofErr w:type="gramEnd"/>
      <w:r>
        <w:t>ублей).</w:t>
      </w:r>
    </w:p>
    <w:p w:rsidR="00A4144D" w:rsidRDefault="00A4144D" w:rsidP="00A4144D">
      <w:pPr>
        <w:ind w:firstLine="708"/>
        <w:jc w:val="both"/>
      </w:pPr>
      <w:r>
        <w:t>Несмотря на недостаточность собстве</w:t>
      </w:r>
      <w:r w:rsidR="004A654B">
        <w:t>нных доходных источников, в 2019</w:t>
      </w:r>
      <w:r>
        <w:t xml:space="preserve">году и за 9 месяцев текущего года, своевременно выплачивалась заработная плата и страховые взносы, начисленные на фонд оплаты труда работников муниципальных учреждений, коммунальные услуги, текущие расходы муниципальных учреждений в объемах, обеспечивающих их функционирование, а также исполнение условий  получения целевых субсидий из областного бюджета. </w:t>
      </w:r>
    </w:p>
    <w:p w:rsidR="00A4144D" w:rsidRDefault="00A4144D" w:rsidP="00A4144D">
      <w:pPr>
        <w:jc w:val="both"/>
        <w:rPr>
          <w:color w:val="000000"/>
        </w:rPr>
      </w:pPr>
      <w:r>
        <w:t xml:space="preserve"> </w:t>
      </w:r>
      <w:r>
        <w:tab/>
      </w:r>
      <w:r w:rsidR="004A654B">
        <w:rPr>
          <w:color w:val="000000"/>
        </w:rPr>
        <w:t>В 2019</w:t>
      </w:r>
      <w:r>
        <w:rPr>
          <w:color w:val="000000"/>
        </w:rPr>
        <w:t xml:space="preserve"> году проводимая бюджетная политика позволила обеспечить реализацию поставленных задач, а именно: сформировать и исполнить местный бюджет, обеспечить финансирование всех принятых обязательств.</w:t>
      </w:r>
    </w:p>
    <w:p w:rsidR="00A4144D" w:rsidRDefault="00A4144D" w:rsidP="00A4144D">
      <w:pPr>
        <w:ind w:firstLine="708"/>
        <w:jc w:val="both"/>
      </w:pPr>
      <w:r>
        <w:t xml:space="preserve">Формирование и исполнение бюджета, совершенствование бюджетного процесса проводилось в рамках требований Бюджетного кодекса Российской Федерации. </w:t>
      </w:r>
    </w:p>
    <w:p w:rsidR="00A4144D" w:rsidRDefault="00A4144D" w:rsidP="00A4144D">
      <w:pPr>
        <w:ind w:firstLine="708"/>
        <w:jc w:val="both"/>
      </w:pPr>
      <w:r>
        <w:t>Принятие решений о местном бюджете на очередной финансовый год и плановый период осуществлялось до начала финансового года.</w:t>
      </w:r>
    </w:p>
    <w:p w:rsidR="00A4144D" w:rsidRDefault="00A4144D" w:rsidP="00A4144D">
      <w:pPr>
        <w:jc w:val="both"/>
      </w:pPr>
    </w:p>
    <w:p w:rsidR="00A4144D" w:rsidRDefault="00A4144D" w:rsidP="00A4144D">
      <w:pPr>
        <w:jc w:val="center"/>
        <w:rPr>
          <w:b/>
        </w:rPr>
      </w:pPr>
      <w:r>
        <w:rPr>
          <w:b/>
        </w:rPr>
        <w:t xml:space="preserve">3. Основные направления бюджетной политики </w:t>
      </w:r>
      <w:r w:rsidR="00A13BDE">
        <w:rPr>
          <w:b/>
        </w:rPr>
        <w:t>Тимошинского</w:t>
      </w:r>
      <w:r>
        <w:rPr>
          <w:b/>
        </w:rPr>
        <w:t xml:space="preserve"> му</w:t>
      </w:r>
      <w:r w:rsidR="00DE3F61">
        <w:rPr>
          <w:b/>
        </w:rPr>
        <w:t>ниципального образования на 2021 год  и на плановый период 2022 и 2023</w:t>
      </w:r>
      <w:r>
        <w:rPr>
          <w:b/>
        </w:rPr>
        <w:t xml:space="preserve"> годов</w:t>
      </w:r>
    </w:p>
    <w:p w:rsidR="00A4144D" w:rsidRDefault="00A4144D" w:rsidP="00A4144D">
      <w:pPr>
        <w:jc w:val="both"/>
        <w:rPr>
          <w:b/>
        </w:rPr>
      </w:pPr>
    </w:p>
    <w:p w:rsidR="00A4144D" w:rsidRDefault="00A4144D" w:rsidP="00A4144D">
      <w:pPr>
        <w:ind w:firstLine="708"/>
        <w:jc w:val="both"/>
      </w:pPr>
      <w:r>
        <w:t xml:space="preserve">Основные направления бюджетной политики </w:t>
      </w:r>
      <w:r w:rsidR="00A13BDE">
        <w:t>Тимошинского</w:t>
      </w:r>
      <w:r>
        <w:t xml:space="preserve"> му</w:t>
      </w:r>
      <w:r w:rsidR="00DE3F61">
        <w:t>ниципального образования на 2021 год и на плановый период 2022 и 2023</w:t>
      </w:r>
      <w:r>
        <w:t xml:space="preserve"> годов (далее – бюджетная политика) реализуется на основе бюджетных принципов, установленных Бюджетным кодексом Российской Федерации.</w:t>
      </w:r>
    </w:p>
    <w:p w:rsidR="00A4144D" w:rsidRDefault="00A4144D" w:rsidP="008D245F">
      <w:pPr>
        <w:ind w:firstLine="708"/>
        <w:rPr>
          <w:rStyle w:val="a4"/>
          <w:b w:val="0"/>
          <w:bCs w:val="0"/>
        </w:rPr>
      </w:pPr>
      <w:r>
        <w:t>Большинство задач в сфере бюджетной политики, поставленных в предыдущие годы, сохраняют свою актуальность.</w:t>
      </w:r>
      <w:r>
        <w:br/>
      </w:r>
      <w:r>
        <w:rPr>
          <w:rStyle w:val="a4"/>
          <w:b w:val="0"/>
        </w:rPr>
        <w:t xml:space="preserve">            Основной целью бюджетной политики является обеспечение стабильности и устойчивости местного бюджета, безусловного исполнения действующих и принимаемых обязательств наиболее эффективным способом, а также обеспечение прозрачности и открытости бюджетного планирования. </w:t>
      </w:r>
    </w:p>
    <w:p w:rsidR="00A4144D" w:rsidRDefault="00A4144D" w:rsidP="00A4144D">
      <w:pPr>
        <w:ind w:firstLine="708"/>
        <w:jc w:val="both"/>
      </w:pPr>
      <w:r>
        <w:t>Для достижения цели обеспечения стабильности и устойчивости бюджета необходимо продолжить работу, направленную на решение следующих задач:</w:t>
      </w:r>
    </w:p>
    <w:p w:rsidR="00A4144D" w:rsidRDefault="00A4144D" w:rsidP="00A4144D">
      <w:pPr>
        <w:ind w:firstLine="708"/>
        <w:jc w:val="both"/>
      </w:pPr>
      <w:r>
        <w:rPr>
          <w:rStyle w:val="a4"/>
          <w:b w:val="0"/>
        </w:rPr>
        <w:t xml:space="preserve">1) </w:t>
      </w:r>
      <w:r>
        <w:t>совершенствование нормативно-правового регулирования бюджетного процесса в муниципальном образовании;</w:t>
      </w:r>
    </w:p>
    <w:p w:rsidR="00A4144D" w:rsidRDefault="00A4144D" w:rsidP="00A4144D">
      <w:pPr>
        <w:ind w:firstLine="708"/>
        <w:jc w:val="both"/>
        <w:rPr>
          <w:rStyle w:val="a4"/>
          <w:b w:val="0"/>
        </w:rPr>
      </w:pPr>
      <w:r>
        <w:t>2)</w:t>
      </w:r>
      <w:r w:rsidR="00DE3F61">
        <w:t xml:space="preserve"> </w:t>
      </w:r>
      <w:r>
        <w:t xml:space="preserve"> в</w:t>
      </w:r>
      <w:r>
        <w:rPr>
          <w:rStyle w:val="a4"/>
          <w:b w:val="0"/>
        </w:rPr>
        <w:t xml:space="preserve"> условиях ограниченности финансовых ресурсов полное, своевременное и эффективное исполнение действующих расходных обязательств;</w:t>
      </w:r>
    </w:p>
    <w:p w:rsidR="00A4144D" w:rsidRDefault="00A4144D" w:rsidP="00A4144D">
      <w:pPr>
        <w:ind w:firstLine="708"/>
        <w:jc w:val="both"/>
        <w:rPr>
          <w:rStyle w:val="a4"/>
          <w:b w:val="0"/>
          <w:bCs w:val="0"/>
        </w:rPr>
      </w:pPr>
      <w:r>
        <w:rPr>
          <w:rStyle w:val="a4"/>
          <w:b w:val="0"/>
        </w:rPr>
        <w:t>3) оптимизация структуры расходов бюджета за счет перераспределения финансовых ресурсов в пользу приоритетных направлений и программ, сокращение неэффективных расходов, принятие новых расходных обязатель</w:t>
      </w:r>
      <w:proofErr w:type="gramStart"/>
      <w:r>
        <w:rPr>
          <w:rStyle w:val="a4"/>
          <w:b w:val="0"/>
        </w:rPr>
        <w:t>ств пр</w:t>
      </w:r>
      <w:proofErr w:type="gramEnd"/>
      <w:r>
        <w:rPr>
          <w:rStyle w:val="a4"/>
          <w:b w:val="0"/>
        </w:rPr>
        <w:t>и наличии экономически обоснованных расчетов, источников их финансирования;</w:t>
      </w:r>
    </w:p>
    <w:p w:rsidR="00A4144D" w:rsidRDefault="00A4144D" w:rsidP="00A4144D">
      <w:pPr>
        <w:ind w:firstLine="708"/>
        <w:jc w:val="both"/>
        <w:rPr>
          <w:rStyle w:val="a4"/>
          <w:b w:val="0"/>
          <w:bCs w:val="0"/>
        </w:rPr>
      </w:pPr>
      <w:r>
        <w:t xml:space="preserve">4) обеспечение реализации «майских» указов Президента Российской Федерации в части повышения уровня заработной платы отдельных категорий работников отраслей социальной сферы, а также реализация принятых на федеральном и региональном уровне решений по увеличению размера минимального </w:t>
      </w:r>
      <w:proofErr w:type="gramStart"/>
      <w:r>
        <w:t>размера оплаты труда</w:t>
      </w:r>
      <w:proofErr w:type="gramEnd"/>
      <w:r>
        <w:t xml:space="preserve">; </w:t>
      </w:r>
    </w:p>
    <w:p w:rsidR="00A4144D" w:rsidRDefault="00A4144D" w:rsidP="00A4144D">
      <w:pPr>
        <w:ind w:firstLine="708"/>
        <w:jc w:val="both"/>
      </w:pPr>
      <w:r>
        <w:t>5) обеспечение расходов на содержание органов местного самоуправления в соответствии с установленными Правительством Иркутской области нормативами;</w:t>
      </w:r>
    </w:p>
    <w:p w:rsidR="00A4144D" w:rsidRDefault="00A4144D" w:rsidP="00A4144D">
      <w:pPr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6) формирование местного бюджета на основе реестра расходных обязательств с учетом прогнозируемого уровня  цен (тарифов) на поставку товаров, производство работ, оказание услуг;</w:t>
      </w:r>
    </w:p>
    <w:p w:rsidR="00A4144D" w:rsidRDefault="00A4144D" w:rsidP="00A4144D">
      <w:pPr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7) развитие программно-целевых методов управления, осуществление разработки и реализации муниципальных программ в соответствии с приоритетными направлениями социально-экономического развития муниципального образования;</w:t>
      </w:r>
    </w:p>
    <w:p w:rsidR="00A4144D" w:rsidRDefault="00A4144D" w:rsidP="00A4144D">
      <w:pPr>
        <w:ind w:firstLine="708"/>
        <w:jc w:val="both"/>
        <w:rPr>
          <w:rStyle w:val="a4"/>
          <w:b w:val="0"/>
        </w:rPr>
      </w:pPr>
      <w:r>
        <w:t xml:space="preserve">8) </w:t>
      </w:r>
      <w:r>
        <w:rPr>
          <w:rStyle w:val="a4"/>
          <w:b w:val="0"/>
        </w:rPr>
        <w:t xml:space="preserve">обеспечение выполнения условий по </w:t>
      </w:r>
      <w:proofErr w:type="spellStart"/>
      <w:r>
        <w:rPr>
          <w:rStyle w:val="a4"/>
          <w:b w:val="0"/>
        </w:rPr>
        <w:t>софинансированию</w:t>
      </w:r>
      <w:proofErr w:type="spellEnd"/>
      <w:r>
        <w:rPr>
          <w:rStyle w:val="a4"/>
          <w:b w:val="0"/>
        </w:rPr>
        <w:t xml:space="preserve"> расходных обязательств местного бюджета, на реализацию которых из областного бюджета предоставляются целевые субсидии;</w:t>
      </w:r>
    </w:p>
    <w:p w:rsidR="00A4144D" w:rsidRDefault="00A4144D" w:rsidP="00A4144D">
      <w:pPr>
        <w:jc w:val="both"/>
        <w:rPr>
          <w:rStyle w:val="a4"/>
          <w:b w:val="0"/>
        </w:rPr>
      </w:pPr>
      <w:r>
        <w:rPr>
          <w:bCs/>
        </w:rPr>
        <w:t xml:space="preserve">          9)</w:t>
      </w:r>
      <w:r>
        <w:rPr>
          <w:rStyle w:val="a4"/>
        </w:rPr>
        <w:t xml:space="preserve"> </w:t>
      </w:r>
      <w:r>
        <w:rPr>
          <w:rStyle w:val="a4"/>
          <w:b w:val="0"/>
        </w:rPr>
        <w:t>повышение эффективности проведения процедур муниципальных закупок;</w:t>
      </w:r>
    </w:p>
    <w:p w:rsidR="00A4144D" w:rsidRDefault="00A4144D" w:rsidP="00A4144D">
      <w:pPr>
        <w:jc w:val="both"/>
        <w:rPr>
          <w:rStyle w:val="a4"/>
          <w:b w:val="0"/>
        </w:rPr>
      </w:pPr>
      <w:r>
        <w:rPr>
          <w:rStyle w:val="a4"/>
          <w:b w:val="0"/>
        </w:rPr>
        <w:t xml:space="preserve">         10) создание условий для сохранения налогооблагаемой базы бюджета поселения в сложившихся экономических условиях; </w:t>
      </w:r>
    </w:p>
    <w:p w:rsidR="00A4144D" w:rsidRDefault="00A4144D" w:rsidP="00A4144D">
      <w:pPr>
        <w:jc w:val="both"/>
        <w:rPr>
          <w:rStyle w:val="a4"/>
          <w:b w:val="0"/>
          <w:bCs w:val="0"/>
        </w:rPr>
      </w:pPr>
      <w:r>
        <w:rPr>
          <w:rStyle w:val="a4"/>
          <w:b w:val="0"/>
        </w:rPr>
        <w:lastRenderedPageBreak/>
        <w:t xml:space="preserve">         11) </w:t>
      </w:r>
      <w:r>
        <w:t>повышение открытости и понятности местного  бюджета, информационной открытости и понятности действий органов местного самоуправления;</w:t>
      </w:r>
    </w:p>
    <w:p w:rsidR="00A4144D" w:rsidRDefault="00A4144D" w:rsidP="00A4144D">
      <w:pPr>
        <w:jc w:val="both"/>
        <w:rPr>
          <w:rStyle w:val="a4"/>
        </w:rPr>
      </w:pPr>
      <w:r>
        <w:rPr>
          <w:rStyle w:val="a4"/>
          <w:b w:val="0"/>
        </w:rPr>
        <w:t xml:space="preserve">         12) совершенствование механизма муниципального финансового контроля.</w:t>
      </w:r>
    </w:p>
    <w:p w:rsidR="00A4144D" w:rsidRDefault="00A4144D" w:rsidP="00A4144D">
      <w:pPr>
        <w:jc w:val="both"/>
      </w:pPr>
    </w:p>
    <w:p w:rsidR="00A4144D" w:rsidRDefault="00A4144D" w:rsidP="00A4144D">
      <w:pPr>
        <w:jc w:val="center"/>
        <w:rPr>
          <w:b/>
        </w:rPr>
      </w:pPr>
      <w:r>
        <w:rPr>
          <w:b/>
        </w:rPr>
        <w:t xml:space="preserve">4.Основные направления налоговой политики </w:t>
      </w:r>
      <w:r w:rsidR="008D245F">
        <w:rPr>
          <w:b/>
        </w:rPr>
        <w:t xml:space="preserve">Тимошинского </w:t>
      </w:r>
      <w:r>
        <w:rPr>
          <w:b/>
        </w:rPr>
        <w:t xml:space="preserve"> муниципального образования</w:t>
      </w:r>
    </w:p>
    <w:p w:rsidR="00A4144D" w:rsidRDefault="00DE3F61" w:rsidP="00A4144D">
      <w:pPr>
        <w:jc w:val="center"/>
        <w:rPr>
          <w:b/>
          <w:bCs/>
        </w:rPr>
      </w:pPr>
      <w:r>
        <w:rPr>
          <w:b/>
        </w:rPr>
        <w:t>на 2021</w:t>
      </w:r>
      <w:r w:rsidR="00A4144D">
        <w:rPr>
          <w:b/>
        </w:rPr>
        <w:t xml:space="preserve"> го</w:t>
      </w:r>
      <w:r>
        <w:rPr>
          <w:b/>
        </w:rPr>
        <w:t>д и на плановый период 2022 и 2023</w:t>
      </w:r>
      <w:r w:rsidR="00A4144D">
        <w:rPr>
          <w:b/>
        </w:rPr>
        <w:t xml:space="preserve"> годов</w:t>
      </w:r>
    </w:p>
    <w:p w:rsidR="00A4144D" w:rsidRDefault="00A4144D" w:rsidP="00A4144D">
      <w:pPr>
        <w:jc w:val="both"/>
        <w:rPr>
          <w:bCs/>
        </w:rPr>
      </w:pPr>
    </w:p>
    <w:p w:rsidR="00A4144D" w:rsidRDefault="00A4144D" w:rsidP="00A4144D">
      <w:pPr>
        <w:ind w:firstLine="708"/>
        <w:jc w:val="both"/>
        <w:rPr>
          <w:rStyle w:val="a4"/>
          <w:b w:val="0"/>
        </w:rPr>
      </w:pPr>
      <w:r>
        <w:t xml:space="preserve">Основные направления налоговой политики </w:t>
      </w:r>
      <w:r w:rsidR="008D245F">
        <w:t xml:space="preserve">Тимошинского </w:t>
      </w:r>
      <w:r>
        <w:t xml:space="preserve"> му</w:t>
      </w:r>
      <w:r w:rsidR="00DE3F61">
        <w:t>ниципального образования на 2021 год и на плановый период 2022 и 2023</w:t>
      </w:r>
      <w:r>
        <w:t xml:space="preserve"> годов</w:t>
      </w:r>
      <w:r>
        <w:rPr>
          <w:bCs/>
        </w:rPr>
        <w:t xml:space="preserve"> (далее – налоговая политика) подготовлены с целью составления проекта бюджета </w:t>
      </w:r>
      <w:r w:rsidR="008D245F">
        <w:t>Тимошинского</w:t>
      </w:r>
      <w:r>
        <w:t xml:space="preserve"> му</w:t>
      </w:r>
      <w:r w:rsidR="00DE3F61">
        <w:t>ниципального образования на 2021 год и на плановый период 2022 и 2023</w:t>
      </w:r>
      <w:r>
        <w:t xml:space="preserve"> годов (далее – местный бюджет).</w:t>
      </w:r>
      <w:r>
        <w:rPr>
          <w:rStyle w:val="a4"/>
          <w:b w:val="0"/>
        </w:rPr>
        <w:t xml:space="preserve"> </w:t>
      </w:r>
    </w:p>
    <w:p w:rsidR="00A4144D" w:rsidRDefault="00A4144D" w:rsidP="00A4144D">
      <w:pPr>
        <w:ind w:firstLine="708"/>
        <w:jc w:val="both"/>
      </w:pPr>
      <w:r>
        <w:t xml:space="preserve">Основными направлениями налоговой политики остаются создание благоприятных условий для устойчивого развития экономики муниципального образования, повышение инвестиционной привлекательности, повышение уровня и улучшение качества жизни населения, а также обеспечение условий для полного и стабильного поступления в местный бюджет закрепленных налогов и сборов. </w:t>
      </w:r>
    </w:p>
    <w:p w:rsidR="00A4144D" w:rsidRDefault="00A4144D" w:rsidP="00A4144D">
      <w:pPr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Налоговая политика, направленная на повышение доходной части местного бюджета по налоговым и неналоговым доходам будет осуществляться за счет следующих мероприятий:</w:t>
      </w:r>
    </w:p>
    <w:p w:rsidR="00A4144D" w:rsidRDefault="00A4144D" w:rsidP="00A4144D">
      <w:pPr>
        <w:ind w:firstLine="708"/>
        <w:jc w:val="both"/>
        <w:rPr>
          <w:rStyle w:val="a4"/>
          <w:b w:val="0"/>
        </w:rPr>
      </w:pPr>
      <w:r>
        <w:t xml:space="preserve">1) </w:t>
      </w:r>
      <w:r>
        <w:rPr>
          <w:rStyle w:val="a4"/>
          <w:b w:val="0"/>
        </w:rPr>
        <w:t>продолжение работы по уточнению отсутствующих (недостоверных) сведений о земельных участках, объектах недвижимости и их правообладателях;</w:t>
      </w:r>
    </w:p>
    <w:p w:rsidR="00A4144D" w:rsidRDefault="00A4144D" w:rsidP="00A4144D">
      <w:pPr>
        <w:ind w:firstLine="708"/>
        <w:jc w:val="both"/>
      </w:pPr>
      <w:r>
        <w:t>2) выявление собственников земельных участков, использующих земельные участки не по назначению, и понуждение их к приведению в соответствие с фактическим видом использования;</w:t>
      </w:r>
    </w:p>
    <w:p w:rsidR="00A4144D" w:rsidRDefault="00A4144D" w:rsidP="00A4144D">
      <w:pPr>
        <w:ind w:firstLine="708"/>
        <w:jc w:val="both"/>
        <w:rPr>
          <w:rStyle w:val="a4"/>
          <w:b w:val="0"/>
        </w:rPr>
      </w:pPr>
      <w:r>
        <w:t xml:space="preserve">3) </w:t>
      </w:r>
      <w:r>
        <w:rPr>
          <w:rStyle w:val="a4"/>
          <w:b w:val="0"/>
        </w:rPr>
        <w:t>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имущества, как наиболее приближенной к рыночной стоимости этого имущества;</w:t>
      </w:r>
    </w:p>
    <w:p w:rsidR="00A4144D" w:rsidRDefault="00A4144D" w:rsidP="00A4144D">
      <w:pPr>
        <w:ind w:firstLine="708"/>
        <w:jc w:val="both"/>
        <w:rPr>
          <w:rStyle w:val="a4"/>
          <w:b w:val="0"/>
          <w:bCs w:val="0"/>
        </w:rPr>
      </w:pPr>
      <w:r>
        <w:t>4) в целях увеличения поступлений налога на доходы физических лиц осуществление мероприятий по соблюдению работодателями трудового законодательства при оформлении трудовых отношений и легализации «теневой» заработной платы, а также осуществление мониторинга своевременности и полноты  уплаты налога на доходы физических лиц;</w:t>
      </w:r>
    </w:p>
    <w:p w:rsidR="00A4144D" w:rsidRDefault="00A4144D" w:rsidP="00A4144D">
      <w:pPr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5) создание условий для развития среднего и малого предпринимательства, оказание информационной поддержки начинающим предпринимателям;</w:t>
      </w:r>
    </w:p>
    <w:p w:rsidR="00A4144D" w:rsidRDefault="00A4144D" w:rsidP="00A4144D">
      <w:pPr>
        <w:ind w:firstLine="708"/>
        <w:jc w:val="both"/>
        <w:rPr>
          <w:rStyle w:val="a4"/>
          <w:b w:val="0"/>
        </w:rPr>
      </w:pPr>
      <w:r>
        <w:rPr>
          <w:rStyle w:val="a4"/>
          <w:b w:val="0"/>
        </w:rPr>
        <w:t>6) увеличение доходов от оказания платных услуг, оказываемых муниципальными казенными  учреждениями, путем расширения видов,  объемов и качества  оказываемых  платных услуг населению;</w:t>
      </w:r>
    </w:p>
    <w:p w:rsidR="00A4144D" w:rsidRDefault="00A4144D" w:rsidP="00A4144D">
      <w:pPr>
        <w:jc w:val="both"/>
        <w:rPr>
          <w:rStyle w:val="a4"/>
          <w:b w:val="0"/>
        </w:rPr>
      </w:pPr>
      <w:r>
        <w:rPr>
          <w:rStyle w:val="a4"/>
          <w:b w:val="0"/>
        </w:rPr>
        <w:t xml:space="preserve"> </w:t>
      </w:r>
      <w:r>
        <w:rPr>
          <w:rStyle w:val="a4"/>
          <w:b w:val="0"/>
        </w:rPr>
        <w:tab/>
        <w:t xml:space="preserve"> 7) п</w:t>
      </w:r>
      <w:r>
        <w:rPr>
          <w:color w:val="2C2C2C"/>
        </w:rPr>
        <w:t>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и побуждению налогоплательщиков к своевременному исполнению налоговых обязательств.</w:t>
      </w:r>
    </w:p>
    <w:p w:rsidR="00A4144D" w:rsidRDefault="00A4144D" w:rsidP="008D245F">
      <w:pPr>
        <w:ind w:firstLine="708"/>
        <w:jc w:val="both"/>
        <w:rPr>
          <w:i/>
        </w:rPr>
      </w:pPr>
      <w:r>
        <w:rPr>
          <w:rStyle w:val="a4"/>
          <w:b w:val="0"/>
        </w:rPr>
        <w:t>8)</w:t>
      </w:r>
      <w:r>
        <w:t xml:space="preserve"> осуществлению мониторинга платежей в местный бюджет в разрезе доходных источников.</w:t>
      </w:r>
    </w:p>
    <w:p w:rsidR="00A4144D" w:rsidRDefault="00A4144D" w:rsidP="00A4144D">
      <w:pPr>
        <w:jc w:val="both"/>
        <w:rPr>
          <w:i/>
        </w:rPr>
      </w:pPr>
    </w:p>
    <w:p w:rsidR="00A4144D" w:rsidRDefault="00A4144D" w:rsidP="00A4144D">
      <w:pPr>
        <w:jc w:val="both"/>
        <w:rPr>
          <w:i/>
        </w:rPr>
      </w:pPr>
    </w:p>
    <w:p w:rsidR="00A4144D" w:rsidRDefault="00A4144D" w:rsidP="00A4144D">
      <w:pPr>
        <w:ind w:firstLine="374"/>
        <w:jc w:val="both"/>
        <w:rPr>
          <w:i/>
        </w:rPr>
      </w:pPr>
    </w:p>
    <w:p w:rsidR="00A4144D" w:rsidRDefault="00A4144D" w:rsidP="00A4144D">
      <w:pPr>
        <w:ind w:firstLine="374"/>
        <w:jc w:val="both"/>
        <w:rPr>
          <w:i/>
        </w:rPr>
      </w:pPr>
    </w:p>
    <w:p w:rsidR="00174DC3" w:rsidRPr="00943638" w:rsidRDefault="00174DC3" w:rsidP="00A4144D">
      <w:pPr>
        <w:pStyle w:val="1"/>
        <w:jc w:val="left"/>
        <w:rPr>
          <w:color w:val="353333"/>
          <w:sz w:val="28"/>
          <w:szCs w:val="28"/>
        </w:rPr>
      </w:pPr>
    </w:p>
    <w:p w:rsidR="00943638" w:rsidRPr="00943638" w:rsidRDefault="00943638" w:rsidP="00FC2D99">
      <w:pPr>
        <w:shd w:val="clear" w:color="auto" w:fill="FFFFFF"/>
        <w:ind w:firstLine="770"/>
        <w:jc w:val="both"/>
        <w:rPr>
          <w:color w:val="353333"/>
          <w:sz w:val="28"/>
          <w:szCs w:val="28"/>
        </w:rPr>
      </w:pPr>
      <w:r w:rsidRPr="00943638">
        <w:rPr>
          <w:color w:val="353333"/>
          <w:sz w:val="28"/>
          <w:szCs w:val="28"/>
        </w:rPr>
        <w:t> </w:t>
      </w:r>
    </w:p>
    <w:p w:rsidR="00943638" w:rsidRPr="00353BFF" w:rsidRDefault="00943638" w:rsidP="00943638">
      <w:pPr>
        <w:shd w:val="clear" w:color="auto" w:fill="FFFFFF"/>
        <w:rPr>
          <w:bCs/>
          <w:color w:val="353333"/>
        </w:rPr>
      </w:pPr>
      <w:r w:rsidRPr="00D13B15">
        <w:rPr>
          <w:b/>
          <w:bCs/>
          <w:color w:val="353333"/>
        </w:rPr>
        <w:t> </w:t>
      </w:r>
      <w:r w:rsidR="00353BFF">
        <w:rPr>
          <w:b/>
          <w:bCs/>
          <w:color w:val="353333"/>
        </w:rPr>
        <w:t xml:space="preserve"> </w:t>
      </w:r>
      <w:r w:rsidR="00353BFF" w:rsidRPr="00353BFF">
        <w:rPr>
          <w:bCs/>
          <w:color w:val="353333"/>
        </w:rPr>
        <w:t>Глава Тимошинского</w:t>
      </w:r>
    </w:p>
    <w:p w:rsidR="007C5D9B" w:rsidRDefault="00353BFF" w:rsidP="00622ABD">
      <w:pPr>
        <w:shd w:val="clear" w:color="auto" w:fill="FFFFFF"/>
        <w:rPr>
          <w:color w:val="353333"/>
          <w:bdr w:val="none" w:sz="0" w:space="0" w:color="auto" w:frame="1"/>
        </w:rPr>
      </w:pPr>
      <w:r w:rsidRPr="00353BFF">
        <w:rPr>
          <w:bCs/>
          <w:color w:val="353333"/>
        </w:rPr>
        <w:t xml:space="preserve">  сельского поселения                                               Ю.Н. Замащикова</w:t>
      </w: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7C5D9B" w:rsidRDefault="007C5D9B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p w:rsidR="00943638" w:rsidRPr="00D13B15" w:rsidRDefault="00174DC3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  <w:r>
        <w:rPr>
          <w:color w:val="353333"/>
          <w:bdr w:val="none" w:sz="0" w:space="0" w:color="auto" w:frame="1"/>
        </w:rPr>
        <w:t xml:space="preserve"> </w:t>
      </w:r>
    </w:p>
    <w:p w:rsidR="00943638" w:rsidRPr="00D13B15" w:rsidRDefault="00943638" w:rsidP="00943638">
      <w:pPr>
        <w:shd w:val="clear" w:color="auto" w:fill="FFFFFF"/>
        <w:jc w:val="right"/>
        <w:rPr>
          <w:color w:val="353333"/>
          <w:bdr w:val="none" w:sz="0" w:space="0" w:color="auto" w:frame="1"/>
        </w:rPr>
      </w:pPr>
    </w:p>
    <w:sectPr w:rsidR="00943638" w:rsidRPr="00D13B15" w:rsidSect="007C5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3638"/>
    <w:rsid w:val="00020D9E"/>
    <w:rsid w:val="00034FDF"/>
    <w:rsid w:val="00141C76"/>
    <w:rsid w:val="00174DC3"/>
    <w:rsid w:val="0021335A"/>
    <w:rsid w:val="002351A4"/>
    <w:rsid w:val="00247229"/>
    <w:rsid w:val="002F3363"/>
    <w:rsid w:val="00353BFF"/>
    <w:rsid w:val="003D6FCE"/>
    <w:rsid w:val="00454EBB"/>
    <w:rsid w:val="00470C3C"/>
    <w:rsid w:val="004A654B"/>
    <w:rsid w:val="00540B76"/>
    <w:rsid w:val="005B0682"/>
    <w:rsid w:val="0061691E"/>
    <w:rsid w:val="00622ABD"/>
    <w:rsid w:val="00697F74"/>
    <w:rsid w:val="006D1EAC"/>
    <w:rsid w:val="00720FF4"/>
    <w:rsid w:val="0079038F"/>
    <w:rsid w:val="007C5D9B"/>
    <w:rsid w:val="008122E1"/>
    <w:rsid w:val="00857CFE"/>
    <w:rsid w:val="00862045"/>
    <w:rsid w:val="008B467F"/>
    <w:rsid w:val="008D245F"/>
    <w:rsid w:val="0090331D"/>
    <w:rsid w:val="00910845"/>
    <w:rsid w:val="00943638"/>
    <w:rsid w:val="009C2B6D"/>
    <w:rsid w:val="00A13BDE"/>
    <w:rsid w:val="00A4144D"/>
    <w:rsid w:val="00AD3FB4"/>
    <w:rsid w:val="00AE402F"/>
    <w:rsid w:val="00B24C98"/>
    <w:rsid w:val="00C01102"/>
    <w:rsid w:val="00CA509A"/>
    <w:rsid w:val="00CA7DAC"/>
    <w:rsid w:val="00CB38F9"/>
    <w:rsid w:val="00D13B15"/>
    <w:rsid w:val="00D24F87"/>
    <w:rsid w:val="00D64070"/>
    <w:rsid w:val="00DE3F61"/>
    <w:rsid w:val="00E44651"/>
    <w:rsid w:val="00EA61BD"/>
    <w:rsid w:val="00EF1E0E"/>
    <w:rsid w:val="00F833C8"/>
    <w:rsid w:val="00FC2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509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638"/>
    <w:pPr>
      <w:spacing w:before="100" w:beforeAutospacing="1" w:after="100" w:afterAutospacing="1"/>
    </w:pPr>
  </w:style>
  <w:style w:type="character" w:styleId="a4">
    <w:name w:val="Strong"/>
    <w:basedOn w:val="a0"/>
    <w:qFormat/>
    <w:rsid w:val="00943638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CA50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CA509A"/>
    <w:rPr>
      <w:rFonts w:cs="Times New Roman"/>
      <w:color w:val="106BBE"/>
    </w:rPr>
  </w:style>
  <w:style w:type="character" w:styleId="a6">
    <w:name w:val="Hyperlink"/>
    <w:basedOn w:val="a0"/>
    <w:uiPriority w:val="99"/>
    <w:unhideWhenUsed/>
    <w:rsid w:val="00A4144D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nhideWhenUsed/>
    <w:rsid w:val="00A4144D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A4144D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0C3BBF9BF886348AF99310E6BD4D2823F036D75B9F599FB6C67CA5815C4EF8285B08CE4AC5AD9BW2AFA" TargetMode="External"/><Relationship Id="rId4" Type="http://schemas.openxmlformats.org/officeDocument/2006/relationships/hyperlink" Target="http://&#1090;&#1080;&#1084;&#1086;&#1096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1890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2020-10-26T08:55:00Z</cp:lastPrinted>
  <dcterms:created xsi:type="dcterms:W3CDTF">2020-10-26T08:57:00Z</dcterms:created>
  <dcterms:modified xsi:type="dcterms:W3CDTF">2020-10-26T08:57:00Z</dcterms:modified>
</cp:coreProperties>
</file>